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rPr/>
      </w:pPr>
      <w:r>
        <w:rPr/>
        <w:t>Questions and answers from the Zoom Webinar August 19</w:t>
      </w:r>
      <w:r>
        <w:rPr>
          <w:vertAlign w:val="superscript"/>
        </w:rPr>
        <w:t>th</w:t>
      </w:r>
      <w:r>
        <w:rPr/>
        <w:t>, 2020</w:t>
      </w:r>
    </w:p>
    <w:p>
      <w:pPr>
        <w:pStyle w:val="TextBody"/>
        <w:spacing w:before="0" w:after="0"/>
        <w:rPr/>
      </w:pPr>
      <w:r>
        <w:rPr/>
      </w:r>
    </w:p>
    <w:p>
      <w:pPr>
        <w:pStyle w:val="TextBody"/>
        <w:spacing w:before="0" w:after="0"/>
        <w:rPr/>
      </w:pPr>
      <w:r>
        <w:rPr/>
        <w:t xml:space="preserve">Reminder: You can sign up to receive an invitation to the Early Care and Learning workforce survey here: </w:t>
      </w:r>
      <w:hyperlink r:id="rId2">
        <w:r>
          <w:rPr>
            <w:rStyle w:val="InternetLink"/>
            <w:color w:val="0000FF"/>
          </w:rPr>
          <w:t>https://survey.srdc.org/SE/99/mailinglist/</w:t>
        </w:r>
      </w:hyperlink>
      <w:r>
        <w:rPr/>
        <w:t xml:space="preserve"> </w:t>
      </w:r>
    </w:p>
    <w:p>
      <w:pPr>
        <w:pStyle w:val="TextBody"/>
        <w:spacing w:before="0" w:after="0"/>
        <w:rPr/>
      </w:pPr>
      <w:r>
        <w:rPr/>
      </w:r>
    </w:p>
    <w:p>
      <w:pPr>
        <w:pStyle w:val="TextBody"/>
        <w:spacing w:before="0" w:after="0"/>
        <w:ind w:left="720" w:hanging="0"/>
        <w:rPr/>
      </w:pPr>
      <w:r>
        <w:rPr/>
      </w:r>
    </w:p>
    <w:p>
      <w:pPr>
        <w:pStyle w:val="TextBody"/>
        <w:numPr>
          <w:ilvl w:val="0"/>
          <w:numId w:val="1"/>
        </w:numPr>
        <w:spacing w:before="0" w:after="0"/>
        <w:rPr/>
      </w:pPr>
      <w:r>
        <w:rPr/>
        <w:t>Could we share some of these findings with fellow ECEs? I'd like to brainstorm with some of my colleagues to see what we can do to address Centre ECL dissatisfaction.</w:t>
      </w:r>
    </w:p>
    <w:p>
      <w:pPr>
        <w:pStyle w:val="TextBody"/>
        <w:spacing w:before="0" w:after="0"/>
        <w:ind w:left="720" w:hanging="0"/>
        <w:rPr/>
      </w:pPr>
      <w:r>
        <w:rPr>
          <w:i/>
          <w:iCs/>
        </w:rPr>
        <w:t xml:space="preserve">The full report is live on ECEBC's website, www.ecebc.ca. We will put the webinar recording there as well. And we'd love to hear your ideas! </w:t>
      </w:r>
    </w:p>
    <w:p>
      <w:pPr>
        <w:pStyle w:val="TextBody"/>
        <w:spacing w:before="0" w:after="0"/>
        <w:rPr>
          <w:i/>
          <w:i/>
          <w:iCs/>
        </w:rPr>
      </w:pPr>
      <w:r>
        <w:rPr>
          <w:i/>
          <w:iCs/>
        </w:rPr>
      </w:r>
    </w:p>
    <w:p>
      <w:pPr>
        <w:pStyle w:val="TextBody"/>
        <w:numPr>
          <w:ilvl w:val="0"/>
          <w:numId w:val="1"/>
        </w:numPr>
        <w:spacing w:before="0" w:after="0"/>
        <w:rPr/>
      </w:pPr>
      <w:r>
        <w:rPr/>
        <w:t>Is there any indication how many families need child care but can’t find it and are therefore using family members or nannies vs. child care centres? IE- How many new ECL’s would we need to actually meet our province’s child care needs?</w:t>
      </w:r>
    </w:p>
    <w:p>
      <w:pPr>
        <w:pStyle w:val="TextBody"/>
        <w:spacing w:before="0" w:after="0"/>
        <w:ind w:left="720" w:hanging="0"/>
        <w:rPr>
          <w:i/>
          <w:i/>
          <w:iCs/>
        </w:rPr>
      </w:pPr>
      <w:r>
        <w:rPr>
          <w:i/>
          <w:iCs/>
        </w:rPr>
        <w:t>This report is based on workforce shortages, not child care space shortages. We did not survey parents. Statistics Canada did do a survey in 2019 and we will be including detailed results from that when we can get access to the data centre (centre is closed right now due to COVID-19). The survey is reported here:  https://www150.statcan.gc.ca/n1/daily-quotidien/190410/dq190410a-eng.htm</w:t>
      </w:r>
    </w:p>
    <w:p>
      <w:pPr>
        <w:pStyle w:val="TextBody"/>
        <w:spacing w:before="0" w:after="0"/>
        <w:rPr/>
      </w:pPr>
      <w:r>
        <w:rPr/>
      </w:r>
    </w:p>
    <w:p>
      <w:pPr>
        <w:pStyle w:val="TextBody"/>
        <w:numPr>
          <w:ilvl w:val="0"/>
          <w:numId w:val="1"/>
        </w:numPr>
        <w:spacing w:before="0" w:after="0"/>
        <w:rPr/>
      </w:pPr>
      <w:r>
        <w:rPr/>
        <w:t>Is there any info on the increase or decrease of numbers of ECEs since 2015?</w:t>
      </w:r>
    </w:p>
    <w:p>
      <w:pPr>
        <w:pStyle w:val="TextBody"/>
        <w:spacing w:before="0" w:after="0"/>
        <w:ind w:left="720" w:hanging="0"/>
        <w:rPr/>
      </w:pPr>
      <w:r>
        <w:rPr>
          <w:i/>
          <w:iCs/>
        </w:rPr>
        <w:t>The 2015 data comes from the Stats Can census, and we won’t have access to the next set of census data for comparison until 2023 (the Labour Force Survey isn’t big enough sample to estimate this).</w:t>
      </w:r>
    </w:p>
    <w:p>
      <w:pPr>
        <w:pStyle w:val="TextBody"/>
        <w:spacing w:before="0" w:after="0"/>
        <w:rPr/>
      </w:pPr>
      <w:r>
        <w:rPr/>
      </w:r>
    </w:p>
    <w:p>
      <w:pPr>
        <w:pStyle w:val="TextBody"/>
        <w:numPr>
          <w:ilvl w:val="0"/>
          <w:numId w:val="1"/>
        </w:numPr>
        <w:spacing w:before="0" w:after="0"/>
        <w:rPr/>
      </w:pPr>
      <w:r>
        <w:rPr/>
        <w:t>Any difference in key indicators based on auspice of workplace?</w:t>
      </w:r>
    </w:p>
    <w:p>
      <w:pPr>
        <w:pStyle w:val="TextBody"/>
        <w:spacing w:before="0" w:after="0"/>
        <w:ind w:left="720" w:hanging="0"/>
        <w:rPr>
          <w:i/>
          <w:i/>
          <w:iCs/>
        </w:rPr>
      </w:pPr>
      <w:r>
        <w:rPr>
          <w:i/>
          <w:iCs/>
        </w:rPr>
        <w:t>We do have data for different types of workplaces but we didn't find statistically significant differences between them.</w:t>
      </w:r>
    </w:p>
    <w:p>
      <w:pPr>
        <w:pStyle w:val="TextBody"/>
        <w:spacing w:before="0" w:after="0"/>
        <w:rPr>
          <w:i/>
          <w:i/>
          <w:iCs/>
        </w:rPr>
      </w:pPr>
      <w:r>
        <w:rPr>
          <w:i/>
          <w:iCs/>
        </w:rPr>
      </w:r>
    </w:p>
    <w:p>
      <w:pPr>
        <w:pStyle w:val="TextBody"/>
        <w:numPr>
          <w:ilvl w:val="0"/>
          <w:numId w:val="1"/>
        </w:numPr>
        <w:spacing w:before="0" w:after="0"/>
        <w:rPr/>
      </w:pPr>
      <w:r>
        <w:rPr/>
        <w:t>Can you confirm - only 58% of ECEs are receiving the $2/hr wage supplement? Or 58% of all survey respondents?</w:t>
      </w:r>
    </w:p>
    <w:p>
      <w:pPr>
        <w:pStyle w:val="TextBody"/>
        <w:spacing w:before="0" w:after="0"/>
        <w:ind w:left="720" w:hanging="0"/>
        <w:rPr>
          <w:i/>
          <w:i/>
          <w:iCs/>
        </w:rPr>
      </w:pPr>
      <w:r>
        <w:rPr>
          <w:i/>
          <w:iCs/>
        </w:rPr>
        <w:t>Only 58% of all survey respondents. We don’t know how many of these people are eligible for the wage supplement, just how many report receiving it.</w:t>
      </w:r>
    </w:p>
    <w:p>
      <w:pPr>
        <w:pStyle w:val="TextBody"/>
        <w:spacing w:before="0" w:after="0"/>
        <w:rPr>
          <w:i/>
          <w:i/>
          <w:iCs/>
        </w:rPr>
      </w:pPr>
      <w:r>
        <w:rPr>
          <w:i/>
          <w:iCs/>
        </w:rPr>
      </w:r>
    </w:p>
    <w:p>
      <w:pPr>
        <w:pStyle w:val="TextBody"/>
        <w:numPr>
          <w:ilvl w:val="0"/>
          <w:numId w:val="1"/>
        </w:numPr>
        <w:spacing w:before="0" w:after="0"/>
        <w:rPr/>
      </w:pPr>
      <w:r>
        <w:rPr/>
        <w:t>How does ECL dissatisfaction compare with elementary school teachers? Do elementary school teachers feel less dissatisfaction because they are better compensated? And how may this ECL dissatisfaction change if child care (or preschool) moves into the public school system?</w:t>
      </w:r>
    </w:p>
    <w:p>
      <w:pPr>
        <w:pStyle w:val="TextBody"/>
        <w:spacing w:before="0" w:after="0"/>
        <w:ind w:left="720" w:hanging="0"/>
        <w:rPr>
          <w:i/>
          <w:i/>
          <w:iCs/>
        </w:rPr>
      </w:pPr>
      <w:r>
        <w:rPr>
          <w:i/>
          <w:iCs/>
        </w:rPr>
        <w:t>There is a lot that we cannot answer as we have not gathered data from those in the education system. If you know of any data sources, please let us know!</w:t>
      </w:r>
    </w:p>
    <w:p>
      <w:pPr>
        <w:pStyle w:val="TextBody"/>
        <w:spacing w:before="0" w:after="0"/>
        <w:ind w:left="720" w:hanging="0"/>
        <w:rPr/>
      </w:pPr>
      <w:r>
        <w:rPr/>
      </w:r>
    </w:p>
    <w:p>
      <w:pPr>
        <w:pStyle w:val="TextBody"/>
        <w:numPr>
          <w:ilvl w:val="0"/>
          <w:numId w:val="1"/>
        </w:numPr>
        <w:spacing w:before="0" w:after="0"/>
        <w:rPr/>
      </w:pPr>
      <w:r>
        <w:rPr/>
        <w:t>Was compensation looked at for ECE Instructors who train current ECEA’s and future ECE’s? Have ECE Instructors participated in these surveys?</w:t>
      </w:r>
    </w:p>
    <w:p>
      <w:pPr>
        <w:pStyle w:val="TextBody"/>
        <w:spacing w:before="0" w:after="0"/>
        <w:ind w:left="720" w:hanging="0"/>
        <w:rPr>
          <w:i/>
          <w:i/>
          <w:iCs/>
        </w:rPr>
      </w:pPr>
      <w:r>
        <w:rPr>
          <w:i/>
          <w:iCs/>
        </w:rPr>
        <w:t>ECE Instructors are able to participate in this survey and are part of the key informant interviews. We don’t have a large enough sample of instructors to look at their compensation.</w:t>
      </w:r>
    </w:p>
    <w:p>
      <w:pPr>
        <w:pStyle w:val="TextBody"/>
        <w:spacing w:before="0" w:after="0"/>
        <w:ind w:left="720" w:hanging="0"/>
        <w:rPr/>
      </w:pPr>
      <w:r>
        <w:rPr/>
      </w:r>
    </w:p>
    <w:p>
      <w:pPr>
        <w:pStyle w:val="TextBody"/>
        <w:numPr>
          <w:ilvl w:val="0"/>
          <w:numId w:val="1"/>
        </w:numPr>
        <w:spacing w:before="0" w:after="0"/>
        <w:rPr/>
      </w:pPr>
      <w:r>
        <w:rPr/>
        <w:t>Are there any proposals to address ECE burnout? I know many ECEs leave the field as there are not enough opportunities off the floor if ECEs experience burnout and not all eces can take time off because they’re needed on the floor for numbers?</w:t>
      </w:r>
    </w:p>
    <w:p>
      <w:pPr>
        <w:pStyle w:val="TextBody"/>
        <w:spacing w:before="0" w:after="0"/>
        <w:ind w:left="720" w:hanging="0"/>
        <w:rPr>
          <w:i/>
          <w:i/>
          <w:iCs/>
        </w:rPr>
      </w:pPr>
      <w:r>
        <w:rPr>
          <w:i/>
          <w:iCs/>
        </w:rPr>
        <w:t>We are hoping the ECL R&amp;R Strategy (government strategy) will help address this, but we don’t yet know if burnout is increasing, decreasing or staying stable. This also means that the benchmarking report does not include any policy recommendations. Future reports and/or the final report in 2022 could have recommendations and we’d love ideas.</w:t>
      </w:r>
    </w:p>
    <w:p>
      <w:pPr>
        <w:pStyle w:val="TextBody"/>
        <w:spacing w:before="0" w:after="0"/>
        <w:rPr>
          <w:i/>
          <w:i/>
          <w:iCs/>
        </w:rPr>
      </w:pPr>
      <w:r>
        <w:rPr>
          <w:i/>
          <w:iCs/>
        </w:rPr>
      </w:r>
    </w:p>
    <w:p>
      <w:pPr>
        <w:pStyle w:val="TextBody"/>
        <w:numPr>
          <w:ilvl w:val="0"/>
          <w:numId w:val="1"/>
        </w:numPr>
        <w:spacing w:before="0" w:after="0"/>
        <w:rPr/>
      </w:pPr>
      <w:r>
        <w:rPr/>
        <w:t>Do the burnout results include managers and ECEs on the floor?</w:t>
      </w:r>
    </w:p>
    <w:p>
      <w:pPr>
        <w:pStyle w:val="TextBody"/>
        <w:spacing w:before="0" w:after="0"/>
        <w:ind w:left="720" w:hanging="0"/>
        <w:rPr>
          <w:i/>
          <w:i/>
          <w:iCs/>
        </w:rPr>
      </w:pPr>
      <w:r>
        <w:rPr>
          <w:i/>
          <w:iCs/>
        </w:rPr>
        <w:t>The burnout results do include managers and ECEs on the floor. The results are reported broken down by home care providers, centre ECL workers (which includes ECEs and non-ECEs working with children), and owner-operators.</w:t>
      </w:r>
    </w:p>
    <w:p>
      <w:pPr>
        <w:pStyle w:val="TextBody"/>
        <w:spacing w:before="0" w:after="0"/>
        <w:rPr/>
      </w:pPr>
      <w:r>
        <w:rPr/>
      </w:r>
    </w:p>
    <w:p>
      <w:pPr>
        <w:pStyle w:val="TextBody"/>
        <w:numPr>
          <w:ilvl w:val="0"/>
          <w:numId w:val="1"/>
        </w:numPr>
        <w:spacing w:before="0" w:after="0"/>
        <w:rPr/>
      </w:pPr>
      <w:r>
        <w:rPr/>
        <w:t xml:space="preserve">Has the new </w:t>
      </w:r>
      <w:r>
        <w:rPr/>
        <w:t>Competitive</w:t>
      </w:r>
      <w:r>
        <w:rPr/>
        <w:t xml:space="preserve"> Publicly Funded Provincial Wage Grid Report from ECEBC and CCCABC been reviewed?</w:t>
      </w:r>
    </w:p>
    <w:p>
      <w:pPr>
        <w:pStyle w:val="TextBody"/>
        <w:spacing w:before="0" w:after="0"/>
        <w:ind w:left="720" w:hanging="0"/>
        <w:rPr>
          <w:i/>
          <w:i/>
          <w:iCs/>
        </w:rPr>
      </w:pPr>
      <w:r>
        <w:rPr>
          <w:i/>
          <w:iCs/>
        </w:rPr>
        <w:t>It is part of our literature review for 2020.</w:t>
      </w:r>
    </w:p>
    <w:p>
      <w:pPr>
        <w:pStyle w:val="TextBody"/>
        <w:spacing w:before="0" w:after="0"/>
        <w:rPr/>
      </w:pPr>
      <w:r>
        <w:rPr/>
      </w:r>
    </w:p>
    <w:p>
      <w:pPr>
        <w:pStyle w:val="TextBody"/>
        <w:numPr>
          <w:ilvl w:val="0"/>
          <w:numId w:val="1"/>
        </w:numPr>
        <w:spacing w:before="0" w:after="0"/>
        <w:rPr/>
      </w:pPr>
      <w:r>
        <w:rPr/>
        <w:t>Was key indicator data considered by geography? If yes, did it point to trends between rural and urban responses?</w:t>
      </w:r>
    </w:p>
    <w:p>
      <w:pPr>
        <w:pStyle w:val="TextBody"/>
        <w:spacing w:before="0" w:after="0"/>
        <w:ind w:left="720" w:hanging="0"/>
        <w:rPr>
          <w:i/>
          <w:i/>
          <w:iCs/>
        </w:rPr>
      </w:pPr>
      <w:r>
        <w:rPr>
          <w:i/>
          <w:iCs/>
        </w:rPr>
        <w:t>We didn't include this analysis in the 2019 Benchmarking Report but we collected geographical area data. This analysis will be part of our 2020 results.</w:t>
      </w:r>
    </w:p>
    <w:p>
      <w:pPr>
        <w:pStyle w:val="TextBody"/>
        <w:spacing w:before="0" w:after="0"/>
        <w:rPr>
          <w:i/>
          <w:i/>
          <w:iCs/>
        </w:rPr>
      </w:pPr>
      <w:r>
        <w:rPr>
          <w:i/>
          <w:iCs/>
        </w:rPr>
      </w:r>
    </w:p>
    <w:p>
      <w:pPr>
        <w:pStyle w:val="TextBody"/>
        <w:numPr>
          <w:ilvl w:val="0"/>
          <w:numId w:val="1"/>
        </w:numPr>
        <w:spacing w:before="0" w:after="0"/>
        <w:rPr/>
      </w:pPr>
      <w:r>
        <w:rPr/>
        <w:t>Has there been or will there be any comparison of the ECL satisfaction results with other provinces?</w:t>
      </w:r>
    </w:p>
    <w:p>
      <w:pPr>
        <w:pStyle w:val="TextBody"/>
        <w:spacing w:before="0" w:after="0"/>
        <w:ind w:left="720" w:hanging="0"/>
        <w:rPr>
          <w:i/>
          <w:i/>
          <w:iCs/>
        </w:rPr>
      </w:pPr>
      <w:r>
        <w:rPr>
          <w:i/>
          <w:iCs/>
        </w:rPr>
        <w:t>We need to see if there are similar surveys in other provinces in order to answer that. We are benchmarking BC against itself (are the government tactics working?). If you know of other provincial surveys, please let us know.</w:t>
      </w:r>
    </w:p>
    <w:p>
      <w:pPr>
        <w:pStyle w:val="TextBody"/>
        <w:spacing w:before="0" w:after="0"/>
        <w:rPr>
          <w:i/>
          <w:i/>
          <w:iCs/>
        </w:rPr>
      </w:pPr>
      <w:r>
        <w:rPr>
          <w:i/>
          <w:iCs/>
        </w:rPr>
      </w:r>
    </w:p>
    <w:p>
      <w:pPr>
        <w:pStyle w:val="TextBody"/>
        <w:numPr>
          <w:ilvl w:val="0"/>
          <w:numId w:val="1"/>
        </w:numPr>
        <w:spacing w:before="0" w:after="0"/>
        <w:rPr/>
      </w:pPr>
      <w:r>
        <w:rPr/>
        <w:t>Is the average age of 44.8 years older than other caring professions?</w:t>
      </w:r>
    </w:p>
    <w:p>
      <w:pPr>
        <w:pStyle w:val="TextBody"/>
        <w:spacing w:before="0" w:after="0"/>
        <w:ind w:left="720" w:hanging="0"/>
        <w:rPr>
          <w:i/>
          <w:i/>
          <w:iCs/>
        </w:rPr>
      </w:pPr>
      <w:r>
        <w:rPr>
          <w:i/>
          <w:iCs/>
        </w:rPr>
        <w:t xml:space="preserve">We think it’s roughly the average age of Canadians, including those in and out of the workforce, but this is a good comparison for us to look into. We will also check to see if the average age of the ECL workforce changes over time. </w:t>
      </w:r>
    </w:p>
    <w:p>
      <w:pPr>
        <w:pStyle w:val="TextBody"/>
        <w:spacing w:before="0" w:after="0"/>
        <w:rPr>
          <w:i/>
          <w:i/>
          <w:iCs/>
        </w:rPr>
      </w:pPr>
      <w:r>
        <w:rPr>
          <w:i/>
          <w:iCs/>
        </w:rPr>
      </w:r>
    </w:p>
    <w:p>
      <w:pPr>
        <w:pStyle w:val="TextBody"/>
        <w:numPr>
          <w:ilvl w:val="0"/>
          <w:numId w:val="1"/>
        </w:numPr>
        <w:spacing w:before="0" w:after="0"/>
        <w:rPr/>
      </w:pPr>
      <w:r>
        <w:rPr/>
        <w:t>It would be interesting to know what drew people to Min Ed jobs, was it wages, etc. Why are they leaving?</w:t>
      </w:r>
    </w:p>
    <w:p>
      <w:pPr>
        <w:pStyle w:val="TextBody"/>
        <w:spacing w:before="0" w:after="0"/>
        <w:ind w:left="720" w:hanging="0"/>
        <w:rPr>
          <w:i/>
          <w:i/>
          <w:iCs/>
        </w:rPr>
      </w:pPr>
      <w:r>
        <w:rPr>
          <w:rFonts w:ascii="Liberation Serif;serif" w:hAnsi="Liberation Serif;serif"/>
          <w:b w:val="false"/>
          <w:i/>
          <w:iCs/>
          <w:color w:val="201F1E"/>
          <w:spacing w:val="0"/>
          <w:sz w:val="24"/>
          <w:lang w:val="en-CA"/>
        </w:rPr>
        <w:t>Nearly 2/3rds ECEs not working in ECL (not necessarily working at Min Ed) report they left due to low wages or dissatisfaction with benefits</w:t>
      </w:r>
    </w:p>
    <w:p>
      <w:pPr>
        <w:pStyle w:val="TextBody"/>
        <w:spacing w:before="0" w:after="0"/>
        <w:ind w:left="720" w:hanging="0"/>
        <w:rPr>
          <w:i/>
          <w:i/>
          <w:iCs/>
        </w:rPr>
      </w:pPr>
      <w:r>
        <w:rPr>
          <w:i/>
          <w:iCs/>
        </w:rPr>
      </w:r>
    </w:p>
    <w:p>
      <w:pPr>
        <w:pStyle w:val="TextBody"/>
        <w:numPr>
          <w:ilvl w:val="0"/>
          <w:numId w:val="1"/>
        </w:numPr>
        <w:spacing w:before="0" w:after="0"/>
        <w:rPr/>
      </w:pPr>
      <w:r>
        <w:rPr/>
        <w:t>What is an ECL worker?</w:t>
        <w:tab/>
      </w:r>
    </w:p>
    <w:p>
      <w:pPr>
        <w:pStyle w:val="TextBody"/>
        <w:spacing w:before="0" w:after="0"/>
        <w:ind w:left="720" w:hanging="0"/>
        <w:rPr/>
      </w:pPr>
      <w:r>
        <w:rPr/>
        <w:t xml:space="preserve">ECL workers are child care workers (who may or may not have an ECE) who work directly with children at a licensed child care centre, preschool, or after school program. We also report indicators separately for owner-operators and home-care based providers. </w:t>
      </w:r>
    </w:p>
    <w:p>
      <w:pPr>
        <w:pStyle w:val="TextBody"/>
        <w:spacing w:before="0" w:after="0"/>
        <w:ind w:left="720" w:hanging="0"/>
        <w:rPr/>
      </w:pPr>
      <w:r>
        <w:rPr/>
        <w:t xml:space="preserve">ECL = Early Care and Learning </w:t>
      </w:r>
    </w:p>
    <w:p>
      <w:pPr>
        <w:pStyle w:val="TextBody"/>
        <w:spacing w:before="0" w:after="0"/>
        <w:rPr/>
      </w:pPr>
      <w:r>
        <w:rPr/>
      </w:r>
    </w:p>
    <w:p>
      <w:pPr>
        <w:pStyle w:val="TextBody"/>
        <w:numPr>
          <w:ilvl w:val="0"/>
          <w:numId w:val="1"/>
        </w:numPr>
        <w:spacing w:before="0" w:after="0"/>
        <w:rPr/>
      </w:pPr>
      <w:r>
        <w:rPr/>
        <w:t>If there is time could you explain what the Administrative Outcomes Database is?</w:t>
        <w:tab/>
      </w:r>
    </w:p>
    <w:p>
      <w:pPr>
        <w:pStyle w:val="TextBody"/>
        <w:spacing w:before="0" w:after="0"/>
        <w:ind w:left="720" w:hanging="0"/>
        <w:rPr/>
      </w:pPr>
      <w:r>
        <w:rPr>
          <w:i/>
          <w:iCs/>
        </w:rPr>
        <w:t xml:space="preserve">The Administrative Outcomes Database includes data about the pace and pattern of implementation of the strategy tactics as well as other programs and supports that can impact retention and recruitment in the sector. The data sources that will be included are listed in the report:  </w:t>
      </w:r>
    </w:p>
    <w:p>
      <w:pPr>
        <w:pStyle w:val="TextBody"/>
        <w:numPr>
          <w:ilvl w:val="1"/>
          <w:numId w:val="2"/>
        </w:numPr>
        <w:spacing w:before="0" w:after="0"/>
        <w:rPr>
          <w:i/>
          <w:i/>
          <w:iCs/>
        </w:rPr>
      </w:pPr>
      <w:r>
        <w:rPr>
          <w:i/>
          <w:iCs/>
        </w:rPr>
        <w:t>BC linked Education Labour Market Platform</w:t>
      </w:r>
    </w:p>
    <w:p>
      <w:pPr>
        <w:pStyle w:val="TextBody"/>
        <w:numPr>
          <w:ilvl w:val="1"/>
          <w:numId w:val="2"/>
        </w:numPr>
        <w:spacing w:before="0" w:after="0"/>
        <w:rPr>
          <w:i/>
          <w:i/>
          <w:iCs/>
        </w:rPr>
      </w:pPr>
      <w:r>
        <w:rPr>
          <w:i/>
          <w:iCs/>
        </w:rPr>
        <w:t xml:space="preserve">Federal government Survey on Early Learning and Child Care Arrangements </w:t>
      </w:r>
    </w:p>
    <w:p>
      <w:pPr>
        <w:pStyle w:val="TextBody"/>
        <w:numPr>
          <w:ilvl w:val="1"/>
          <w:numId w:val="2"/>
        </w:numPr>
        <w:spacing w:before="0" w:after="0"/>
        <w:rPr>
          <w:i/>
          <w:i/>
          <w:iCs/>
        </w:rPr>
      </w:pPr>
      <w:r>
        <w:rPr>
          <w:i/>
          <w:iCs/>
        </w:rPr>
        <w:t>ECE/training programs in BC</w:t>
      </w:r>
    </w:p>
    <w:p>
      <w:pPr>
        <w:pStyle w:val="TextBody"/>
        <w:numPr>
          <w:ilvl w:val="1"/>
          <w:numId w:val="2"/>
        </w:numPr>
        <w:spacing w:before="0" w:after="0"/>
        <w:rPr>
          <w:i/>
          <w:i/>
          <w:iCs/>
        </w:rPr>
      </w:pPr>
      <w:r>
        <w:rPr>
          <w:i/>
          <w:iCs/>
        </w:rPr>
        <w:t>ECE Bursary Program</w:t>
      </w:r>
    </w:p>
    <w:p>
      <w:pPr>
        <w:pStyle w:val="TextBody"/>
        <w:numPr>
          <w:ilvl w:val="1"/>
          <w:numId w:val="2"/>
        </w:numPr>
        <w:spacing w:before="0" w:after="0"/>
        <w:rPr>
          <w:i/>
          <w:i/>
          <w:iCs/>
        </w:rPr>
      </w:pPr>
      <w:r>
        <w:rPr>
          <w:i/>
          <w:iCs/>
        </w:rPr>
        <w:t>ECE Workforce Development Fund</w:t>
      </w:r>
    </w:p>
    <w:p>
      <w:pPr>
        <w:pStyle w:val="TextBody"/>
        <w:numPr>
          <w:ilvl w:val="1"/>
          <w:numId w:val="2"/>
        </w:numPr>
        <w:spacing w:before="0" w:after="0"/>
        <w:rPr>
          <w:i/>
          <w:i/>
          <w:iCs/>
        </w:rPr>
      </w:pPr>
      <w:r>
        <w:rPr>
          <w:i/>
          <w:iCs/>
        </w:rPr>
        <w:t>Community Early Childhood Facilitators Program</w:t>
      </w:r>
    </w:p>
    <w:p>
      <w:pPr>
        <w:pStyle w:val="TextBody"/>
        <w:numPr>
          <w:ilvl w:val="1"/>
          <w:numId w:val="2"/>
        </w:numPr>
        <w:spacing w:before="0" w:after="0"/>
        <w:rPr>
          <w:i/>
          <w:i/>
          <w:iCs/>
        </w:rPr>
      </w:pPr>
      <w:r>
        <w:rPr>
          <w:i/>
          <w:iCs/>
        </w:rPr>
        <w:t>Updated occupational competencies for training ECE and updated ECE standards of practice</w:t>
      </w:r>
    </w:p>
    <w:p>
      <w:pPr>
        <w:pStyle w:val="TextBody"/>
        <w:numPr>
          <w:ilvl w:val="1"/>
          <w:numId w:val="2"/>
        </w:numPr>
        <w:spacing w:before="0" w:after="0"/>
        <w:rPr>
          <w:i/>
          <w:i/>
          <w:iCs/>
        </w:rPr>
      </w:pPr>
      <w:r>
        <w:rPr>
          <w:i/>
          <w:iCs/>
        </w:rPr>
        <w:t xml:space="preserve">Child care workers qualified as responsible adults </w:t>
      </w:r>
    </w:p>
    <w:p>
      <w:pPr>
        <w:pStyle w:val="TextBody"/>
        <w:numPr>
          <w:ilvl w:val="1"/>
          <w:numId w:val="2"/>
        </w:numPr>
        <w:spacing w:before="0" w:after="0"/>
        <w:rPr>
          <w:i/>
          <w:i/>
          <w:iCs/>
        </w:rPr>
      </w:pPr>
      <w:r>
        <w:rPr>
          <w:i/>
          <w:iCs/>
        </w:rPr>
        <w:t xml:space="preserve">Registered License-Not-Required providers (RLNR) </w:t>
      </w:r>
    </w:p>
    <w:p>
      <w:pPr>
        <w:pStyle w:val="TextBody"/>
        <w:numPr>
          <w:ilvl w:val="1"/>
          <w:numId w:val="2"/>
        </w:numPr>
        <w:spacing w:before="0" w:after="0"/>
        <w:rPr>
          <w:i/>
          <w:i/>
          <w:iCs/>
        </w:rPr>
      </w:pPr>
      <w:r>
        <w:rPr>
          <w:i/>
          <w:iCs/>
        </w:rPr>
        <w:t>Unregistered License-Not-Required providers – no reliable sources identified</w:t>
      </w:r>
    </w:p>
    <w:p>
      <w:pPr>
        <w:pStyle w:val="TextBody"/>
        <w:numPr>
          <w:ilvl w:val="1"/>
          <w:numId w:val="2"/>
        </w:numPr>
        <w:spacing w:before="0" w:after="0"/>
        <w:rPr>
          <w:i/>
          <w:i/>
          <w:iCs/>
        </w:rPr>
      </w:pPr>
      <w:r>
        <w:rPr>
          <w:i/>
          <w:iCs/>
        </w:rPr>
        <w:t>Aboriginal Head Start preschools</w:t>
      </w:r>
    </w:p>
    <w:p>
      <w:pPr>
        <w:pStyle w:val="TextBody"/>
        <w:numPr>
          <w:ilvl w:val="1"/>
          <w:numId w:val="2"/>
        </w:numPr>
        <w:spacing w:before="0" w:after="0"/>
        <w:rPr>
          <w:i/>
          <w:i/>
          <w:iCs/>
        </w:rPr>
      </w:pPr>
      <w:r>
        <w:rPr>
          <w:i/>
          <w:iCs/>
        </w:rPr>
        <w:t>Child Care Operating Fund Data</w:t>
      </w:r>
    </w:p>
    <w:p>
      <w:pPr>
        <w:pStyle w:val="TextBody"/>
        <w:numPr>
          <w:ilvl w:val="1"/>
          <w:numId w:val="2"/>
        </w:numPr>
        <w:spacing w:before="0" w:after="0"/>
        <w:rPr>
          <w:i/>
          <w:i/>
          <w:iCs/>
        </w:rPr>
      </w:pPr>
      <w:r>
        <w:rPr>
          <w:i/>
          <w:iCs/>
        </w:rPr>
        <w:t>Start-up grant data</w:t>
      </w:r>
    </w:p>
    <w:p>
      <w:pPr>
        <w:pStyle w:val="TextBody"/>
        <w:numPr>
          <w:ilvl w:val="1"/>
          <w:numId w:val="2"/>
        </w:numPr>
        <w:spacing w:before="0" w:after="0"/>
        <w:rPr>
          <w:i/>
          <w:i/>
          <w:iCs/>
        </w:rPr>
      </w:pPr>
      <w:r>
        <w:rPr>
          <w:i/>
          <w:iCs/>
        </w:rPr>
        <w:t>ECE Wage Enhancement</w:t>
      </w:r>
    </w:p>
    <w:p>
      <w:pPr>
        <w:pStyle w:val="TextBody"/>
        <w:numPr>
          <w:ilvl w:val="1"/>
          <w:numId w:val="2"/>
        </w:numPr>
        <w:spacing w:before="0" w:after="0"/>
        <w:rPr>
          <w:i/>
          <w:i/>
          <w:iCs/>
        </w:rPr>
      </w:pPr>
      <w:r>
        <w:rPr>
          <w:i/>
          <w:iCs/>
        </w:rPr>
        <w:t>Data on prototype sites</w:t>
      </w:r>
    </w:p>
    <w:p>
      <w:pPr>
        <w:pStyle w:val="TextBody"/>
        <w:numPr>
          <w:ilvl w:val="1"/>
          <w:numId w:val="2"/>
        </w:numPr>
        <w:spacing w:before="0" w:after="0"/>
        <w:rPr>
          <w:i/>
          <w:i/>
          <w:iCs/>
        </w:rPr>
      </w:pPr>
      <w:r>
        <w:rPr>
          <w:i/>
          <w:iCs/>
        </w:rPr>
        <w:t>Child Care job postings</w:t>
      </w:r>
    </w:p>
    <w:p>
      <w:pPr>
        <w:pStyle w:val="TextBody"/>
        <w:numPr>
          <w:ilvl w:val="1"/>
          <w:numId w:val="2"/>
        </w:numPr>
        <w:spacing w:before="0" w:after="0"/>
        <w:rPr>
          <w:i/>
          <w:i/>
          <w:iCs/>
        </w:rPr>
      </w:pPr>
      <w:r>
        <w:rPr>
          <w:i/>
          <w:iCs/>
        </w:rPr>
        <w:t>ECE Registry</w:t>
      </w:r>
    </w:p>
    <w:p>
      <w:pPr>
        <w:pStyle w:val="TextBody"/>
        <w:numPr>
          <w:ilvl w:val="1"/>
          <w:numId w:val="2"/>
        </w:numPr>
        <w:spacing w:before="0" w:after="0"/>
        <w:rPr>
          <w:i/>
          <w:i/>
          <w:iCs/>
        </w:rPr>
      </w:pPr>
      <w:r>
        <w:rPr>
          <w:i/>
          <w:iCs/>
        </w:rPr>
        <w:t xml:space="preserve">Child care centres investigation reports </w:t>
      </w:r>
    </w:p>
    <w:p>
      <w:pPr>
        <w:pStyle w:val="TextBody"/>
        <w:spacing w:before="0" w:after="0"/>
        <w:rPr>
          <w:i/>
          <w:i/>
          <w:iCs/>
        </w:rPr>
      </w:pPr>
      <w:r>
        <w:rPr>
          <w:i/>
          <w:iCs/>
        </w:rPr>
      </w:r>
    </w:p>
    <w:p>
      <w:pPr>
        <w:pStyle w:val="TextBody"/>
        <w:spacing w:before="0" w:after="0"/>
        <w:ind w:left="720" w:hanging="0"/>
        <w:rPr/>
      </w:pPr>
      <w:r>
        <w:rPr/>
        <w:t xml:space="preserve">For any further questions, please email lead researcher Dr. Reuben Ford at </w:t>
      </w:r>
      <w:hyperlink r:id="rId3">
        <w:r>
          <w:rPr>
            <w:rStyle w:val="InternetLink"/>
          </w:rPr>
          <w:t>rford@srdc.org</w:t>
        </w:r>
      </w:hyperlink>
      <w:r>
        <w:rPr/>
        <w:t xml:space="preserve"> or Andrea Lemire, ECEBC’s project manager at </w:t>
      </w:r>
      <w:hyperlink r:id="rId4">
        <w:r>
          <w:rPr>
            <w:rStyle w:val="InternetLink"/>
          </w:rPr>
          <w:t>alemire@ecebc.ca</w:t>
        </w:r>
      </w:hyperlink>
      <w:r>
        <w:rPr/>
        <w:t xml:space="preserve"> </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roman"/>
    <w:pitch w:val="variable"/>
  </w:font>
  <w:font w:name="Liberation Serif">
    <w:altName w:val="Times New Roman"/>
    <w:charset w:val="01"/>
    <w:family w:val="auto"/>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C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CA" w:eastAsia="zh-CN" w:bidi="hi-IN"/>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InternetLink">
    <w:name w:val="Hyperlink"/>
    <w:rPr>
      <w:color w:val="000080"/>
      <w:u w:val="single"/>
    </w:rPr>
  </w:style>
  <w:style w:type="character" w:styleId="Annotationreference">
    <w:name w:val="annotation reference"/>
    <w:basedOn w:val="DefaultParagraphFont"/>
    <w:uiPriority w:val="99"/>
    <w:semiHidden/>
    <w:unhideWhenUsed/>
    <w:qFormat/>
    <w:rsid w:val="00b42518"/>
    <w:rPr>
      <w:sz w:val="16"/>
      <w:szCs w:val="16"/>
    </w:rPr>
  </w:style>
  <w:style w:type="character" w:styleId="CommentTextChar" w:customStyle="1">
    <w:name w:val="Comment Text Char"/>
    <w:basedOn w:val="DefaultParagraphFont"/>
    <w:link w:val="CommentText"/>
    <w:uiPriority w:val="99"/>
    <w:semiHidden/>
    <w:qFormat/>
    <w:rsid w:val="00b42518"/>
    <w:rPr>
      <w:rFonts w:cs="Mangal"/>
      <w:szCs w:val="18"/>
    </w:rPr>
  </w:style>
  <w:style w:type="character" w:styleId="CommentSubjectChar" w:customStyle="1">
    <w:name w:val="Comment Subject Char"/>
    <w:basedOn w:val="CommentTextChar"/>
    <w:link w:val="CommentSubject"/>
    <w:uiPriority w:val="99"/>
    <w:semiHidden/>
    <w:qFormat/>
    <w:rsid w:val="00b42518"/>
    <w:rPr>
      <w:rFonts w:cs="Mangal"/>
      <w:b/>
      <w:bCs/>
      <w:szCs w:val="18"/>
    </w:rPr>
  </w:style>
  <w:style w:type="character" w:styleId="BalloonTextChar" w:customStyle="1">
    <w:name w:val="Balloon Text Char"/>
    <w:basedOn w:val="DefaultParagraphFont"/>
    <w:link w:val="BalloonText"/>
    <w:uiPriority w:val="99"/>
    <w:semiHidden/>
    <w:qFormat/>
    <w:rsid w:val="00b42518"/>
    <w:rPr>
      <w:rFonts w:ascii="Segoe UI" w:hAnsi="Segoe UI" w:cs="Mangal"/>
      <w:sz w:val="18"/>
      <w:szCs w:val="16"/>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Annotationtext">
    <w:name w:val="annotation text"/>
    <w:basedOn w:val="Normal"/>
    <w:link w:val="CommentTextChar"/>
    <w:uiPriority w:val="99"/>
    <w:semiHidden/>
    <w:unhideWhenUsed/>
    <w:qFormat/>
    <w:rsid w:val="00b42518"/>
    <w:pPr/>
    <w:rPr>
      <w:rFonts w:cs="Mangal"/>
      <w:sz w:val="20"/>
      <w:szCs w:val="18"/>
    </w:rPr>
  </w:style>
  <w:style w:type="paragraph" w:styleId="Annotationsubject">
    <w:name w:val="annotation subject"/>
    <w:basedOn w:val="Annotationtext"/>
    <w:next w:val="Annotationtext"/>
    <w:link w:val="CommentSubjectChar"/>
    <w:uiPriority w:val="99"/>
    <w:semiHidden/>
    <w:unhideWhenUsed/>
    <w:qFormat/>
    <w:rsid w:val="00b42518"/>
    <w:pPr/>
    <w:rPr>
      <w:b/>
      <w:bCs/>
    </w:rPr>
  </w:style>
  <w:style w:type="paragraph" w:styleId="BalloonText">
    <w:name w:val="Balloon Text"/>
    <w:basedOn w:val="Normal"/>
    <w:link w:val="BalloonTextChar"/>
    <w:uiPriority w:val="99"/>
    <w:semiHidden/>
    <w:unhideWhenUsed/>
    <w:qFormat/>
    <w:rsid w:val="00b42518"/>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rvey.srdc.org/SE/99/mailinglist/" TargetMode="External"/><Relationship Id="rId3" Type="http://schemas.openxmlformats.org/officeDocument/2006/relationships/hyperlink" Target="mailto:rford@srdc.org" TargetMode="External"/><Relationship Id="rId4" Type="http://schemas.openxmlformats.org/officeDocument/2006/relationships/hyperlink" Target="mailto:alemire@ecebc.ca"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LibreOffice/6.4.4.2$Linux_X86_64 LibreOffice_project/40$Build-2</Application>
  <Pages>3</Pages>
  <Words>1057</Words>
  <Characters>5352</Characters>
  <CharactersWithSpaces>6337</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2020-08-21T02:37:00Z</dcterms:created>
  <dc:creator>Reuben Ford</dc:creator>
  <dc:description/>
  <dc:language>en-CA</dc:language>
  <cp:lastModifiedBy/>
  <dcterms:modified xsi:type="dcterms:W3CDTF">2020-08-21T11:23:31Z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